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A2" w:rsidRPr="00EF5D92" w:rsidRDefault="002E7692" w:rsidP="001343A2">
      <w:pPr>
        <w:jc w:val="both"/>
        <w:rPr>
          <w:rFonts w:cstheme="minorHAnsi"/>
          <w:lang w:eastAsia="pl-PL"/>
        </w:rPr>
      </w:pPr>
      <w:bookmarkStart w:id="0" w:name="_GoBack"/>
      <w:bookmarkEnd w:id="0"/>
      <w:r w:rsidRPr="00EF5D92">
        <w:rPr>
          <w:rFonts w:cstheme="minorHAnsi"/>
          <w:lang w:eastAsia="pl-PL"/>
        </w:rPr>
        <w:t xml:space="preserve">Proponowane zmiany w LSR Regionu Kozła wynikają </w:t>
      </w:r>
      <w:r w:rsidR="001343A2" w:rsidRPr="00EF5D92">
        <w:rPr>
          <w:rFonts w:cstheme="minorHAnsi"/>
          <w:lang w:eastAsia="pl-PL"/>
        </w:rPr>
        <w:t>środków finansowych na realizację poddziałania 19.2 oraz na realizację poddziałania 19.4 w ramach PROW 2014-2020 zgodnie z pismem DFW.I.433.3.4.2016 UM04-6933-UM0410004/15 z dnia 23.04.2021 r.</w:t>
      </w:r>
      <w:r w:rsidR="00586F49" w:rsidRPr="00EF5D92">
        <w:rPr>
          <w:rFonts w:cstheme="minorHAnsi"/>
          <w:lang w:eastAsia="pl-PL"/>
        </w:rPr>
        <w:t>:</w:t>
      </w:r>
    </w:p>
    <w:p w:rsidR="00586F49" w:rsidRPr="00EF5D92" w:rsidRDefault="00586F49" w:rsidP="001343A2">
      <w:pPr>
        <w:jc w:val="both"/>
        <w:rPr>
          <w:rFonts w:cstheme="minorHAnsi"/>
          <w:lang w:eastAsia="pl-PL"/>
        </w:rPr>
      </w:pPr>
      <w:r w:rsidRPr="00EF5D92">
        <w:rPr>
          <w:rFonts w:cstheme="minorHAnsi"/>
          <w:lang w:eastAsia="pl-PL"/>
        </w:rPr>
        <w:t>Podstawa wyliczenia dodatkowych środków :</w:t>
      </w:r>
    </w:p>
    <w:p w:rsidR="00586F49" w:rsidRPr="00EF5D92" w:rsidRDefault="00586F49" w:rsidP="001343A2">
      <w:pPr>
        <w:jc w:val="both"/>
        <w:rPr>
          <w:rFonts w:cstheme="minorHAnsi"/>
          <w:lang w:eastAsia="pl-PL"/>
        </w:rPr>
      </w:pPr>
      <w:r w:rsidRPr="00EF5D92">
        <w:rPr>
          <w:rFonts w:cstheme="minorHAnsi"/>
          <w:lang w:eastAsia="pl-PL"/>
        </w:rPr>
        <w:t>Suma wartości zawartych umów czynnych na  dzień 28.02.2021: 5 343 391 zł</w:t>
      </w:r>
    </w:p>
    <w:p w:rsidR="00586F49" w:rsidRPr="00EF5D92" w:rsidRDefault="00586F49" w:rsidP="001343A2">
      <w:pPr>
        <w:jc w:val="both"/>
        <w:rPr>
          <w:rFonts w:cstheme="minorHAnsi"/>
          <w:b/>
        </w:rPr>
      </w:pPr>
      <w:r w:rsidRPr="00EF5D92">
        <w:rPr>
          <w:rFonts w:cstheme="minorHAnsi"/>
          <w:lang w:eastAsia="pl-PL"/>
        </w:rPr>
        <w:t xml:space="preserve">Dodatkowe środki na </w:t>
      </w:r>
      <w:r w:rsidRPr="00EF5D92">
        <w:rPr>
          <w:rFonts w:cstheme="minorHAnsi"/>
          <w:b/>
        </w:rPr>
        <w:t>poddziałanie 19.2 wsparcie na wdrażanie operacji w ramach LSR: 417 000 euro,</w:t>
      </w:r>
    </w:p>
    <w:p w:rsidR="00586F49" w:rsidRPr="00EF5D92" w:rsidRDefault="00586F49" w:rsidP="001343A2">
      <w:pPr>
        <w:jc w:val="both"/>
        <w:rPr>
          <w:rFonts w:cstheme="minorHAnsi"/>
          <w:b/>
        </w:rPr>
      </w:pPr>
      <w:r w:rsidRPr="00EF5D92">
        <w:rPr>
          <w:rFonts w:cstheme="minorHAnsi"/>
          <w:b/>
        </w:rPr>
        <w:t>W tym 146 000 euro (35,01%) na podejmowanie działalności gospodarczej</w:t>
      </w:r>
    </w:p>
    <w:p w:rsidR="00586F49" w:rsidRPr="00EF5D92" w:rsidRDefault="00586F49" w:rsidP="001343A2">
      <w:pPr>
        <w:jc w:val="both"/>
        <w:rPr>
          <w:rFonts w:cstheme="minorHAnsi"/>
          <w:lang w:eastAsia="pl-PL"/>
        </w:rPr>
      </w:pPr>
      <w:r w:rsidRPr="00EF5D92">
        <w:rPr>
          <w:rFonts w:cstheme="minorHAnsi"/>
          <w:lang w:eastAsia="pl-PL"/>
        </w:rPr>
        <w:t xml:space="preserve">Dodatkowe środki na </w:t>
      </w:r>
      <w:r w:rsidRPr="00EF5D92">
        <w:rPr>
          <w:rFonts w:cstheme="minorHAnsi"/>
          <w:b/>
        </w:rPr>
        <w:t>poddziałanie 19.4 wsparcie na wdrażanie operacji w ramach LSR: 50 040 euro</w:t>
      </w:r>
    </w:p>
    <w:p w:rsidR="001343A2" w:rsidRPr="00EF5D92" w:rsidRDefault="001343A2" w:rsidP="001343A2">
      <w:pPr>
        <w:jc w:val="both"/>
        <w:rPr>
          <w:rFonts w:cstheme="minorHAnsi"/>
          <w:lang w:eastAsia="pl-PL"/>
        </w:rPr>
      </w:pPr>
    </w:p>
    <w:p w:rsidR="009F7805" w:rsidRPr="00EF5D92" w:rsidRDefault="003F5150" w:rsidP="009F7805">
      <w:pPr>
        <w:pStyle w:val="Bezodstpw"/>
        <w:numPr>
          <w:ilvl w:val="0"/>
          <w:numId w:val="10"/>
        </w:numPr>
        <w:ind w:left="426" w:hanging="426"/>
        <w:rPr>
          <w:rFonts w:cstheme="minorHAnsi"/>
          <w:strike/>
        </w:rPr>
      </w:pPr>
      <w:r w:rsidRPr="00EF5D92">
        <w:rPr>
          <w:rFonts w:cstheme="minorHAnsi"/>
        </w:rPr>
        <w:t xml:space="preserve">str. 43 – w przedsięwzięciu </w:t>
      </w:r>
      <w:r w:rsidR="00B527CD" w:rsidRPr="00EF5D92">
        <w:rPr>
          <w:rFonts w:cstheme="minorHAnsi"/>
        </w:rPr>
        <w:t xml:space="preserve">1.1.2. </w:t>
      </w:r>
      <w:r w:rsidRPr="00EF5D92">
        <w:rPr>
          <w:rFonts w:cstheme="minorHAnsi"/>
        </w:rPr>
        <w:t xml:space="preserve">Wspieranie rozwoju infrastruktury kulturalnej zwiększono o 1 wartość wskaźnika </w:t>
      </w:r>
      <w:r w:rsidRPr="00EF5D92">
        <w:rPr>
          <w:rFonts w:cstheme="minorHAnsi"/>
          <w:i/>
        </w:rPr>
        <w:t>Liczba rozwiniętych, obiektów infrastruktury kulturalnej</w:t>
      </w:r>
      <w:r w:rsidRPr="00EF5D92">
        <w:rPr>
          <w:rFonts w:cstheme="minorHAnsi"/>
        </w:rPr>
        <w:t xml:space="preserve"> </w:t>
      </w:r>
      <w:r w:rsidRPr="00EF5D92">
        <w:rPr>
          <w:rFonts w:cstheme="minorHAnsi"/>
          <w:shd w:val="clear" w:color="auto" w:fill="FFFFFF"/>
        </w:rPr>
        <w:t xml:space="preserve">adekwatnie do zwiększonej kwoty </w:t>
      </w:r>
    </w:p>
    <w:p w:rsidR="00963D7C" w:rsidRPr="00963D7C" w:rsidRDefault="00963D7C" w:rsidP="00963D7C">
      <w:pPr>
        <w:pStyle w:val="Bezodstpw"/>
        <w:numPr>
          <w:ilvl w:val="0"/>
          <w:numId w:val="10"/>
        </w:numPr>
        <w:ind w:left="426" w:hanging="426"/>
        <w:rPr>
          <w:rFonts w:cstheme="minorHAnsi"/>
          <w:strike/>
        </w:rPr>
      </w:pPr>
      <w:r w:rsidRPr="00EF5D92">
        <w:rPr>
          <w:rFonts w:cstheme="minorHAnsi"/>
        </w:rPr>
        <w:t>str. 4</w:t>
      </w:r>
      <w:r>
        <w:rPr>
          <w:rFonts w:cstheme="minorHAnsi"/>
        </w:rPr>
        <w:t>4</w:t>
      </w:r>
      <w:r w:rsidRPr="00EF5D92">
        <w:rPr>
          <w:rFonts w:cstheme="minorHAnsi"/>
        </w:rPr>
        <w:t xml:space="preserve">– w przedsięwzięciu  2.1.1. Podejmowanie i rozwijanie działalności gospodarczej zwiększono o </w:t>
      </w:r>
      <w:r>
        <w:rPr>
          <w:rFonts w:cstheme="minorHAnsi"/>
        </w:rPr>
        <w:t xml:space="preserve">8 </w:t>
      </w:r>
      <w:r w:rsidRPr="00EF5D92">
        <w:rPr>
          <w:rFonts w:cstheme="minorHAnsi"/>
        </w:rPr>
        <w:t xml:space="preserve">wartość wskaźnika </w:t>
      </w:r>
      <w:r w:rsidRPr="00EF5D92">
        <w:rPr>
          <w:rFonts w:cstheme="minorHAnsi"/>
          <w:i/>
        </w:rPr>
        <w:t xml:space="preserve">Liczba </w:t>
      </w:r>
      <w:r>
        <w:rPr>
          <w:rFonts w:cstheme="minorHAnsi"/>
          <w:i/>
        </w:rPr>
        <w:t>operacji polegających na utworzeniu nowego przedsiębiorstwa</w:t>
      </w:r>
      <w:r w:rsidRPr="00EF5D92">
        <w:rPr>
          <w:rFonts w:cstheme="minorHAnsi"/>
        </w:rPr>
        <w:t xml:space="preserve"> </w:t>
      </w:r>
      <w:r w:rsidRPr="00EF5D92">
        <w:rPr>
          <w:rFonts w:cstheme="minorHAnsi"/>
          <w:shd w:val="clear" w:color="auto" w:fill="FFFFFF"/>
        </w:rPr>
        <w:t xml:space="preserve">adekwatnie do zwiększonej kwoty </w:t>
      </w:r>
    </w:p>
    <w:p w:rsidR="009F7805" w:rsidRPr="00EF5D92" w:rsidRDefault="007A6260" w:rsidP="009D2A4D">
      <w:pPr>
        <w:pStyle w:val="Bezodstpw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Style w:val="Uwydatnienie"/>
          <w:rFonts w:eastAsia="Times New Roman" w:cstheme="minorHAnsi"/>
          <w:i w:val="0"/>
          <w:iCs w:val="0"/>
          <w:color w:val="404040"/>
          <w:spacing w:val="15"/>
          <w:lang w:eastAsia="pl-PL"/>
        </w:rPr>
      </w:pPr>
      <w:r w:rsidRPr="00EF5D92">
        <w:rPr>
          <w:rFonts w:cstheme="minorHAnsi"/>
        </w:rPr>
        <w:t>str.</w:t>
      </w:r>
      <w:r w:rsidR="00B527CD" w:rsidRPr="00EF5D92">
        <w:rPr>
          <w:rFonts w:cstheme="minorHAnsi"/>
        </w:rPr>
        <w:t xml:space="preserve"> </w:t>
      </w:r>
      <w:r w:rsidRPr="00EF5D92">
        <w:rPr>
          <w:rFonts w:cstheme="minorHAnsi"/>
        </w:rPr>
        <w:t xml:space="preserve">45 </w:t>
      </w:r>
      <w:r w:rsidR="00B527CD" w:rsidRPr="00EF5D92">
        <w:rPr>
          <w:rFonts w:cstheme="minorHAnsi"/>
          <w:shd w:val="clear" w:color="auto" w:fill="FFFFFF"/>
        </w:rPr>
        <w:t xml:space="preserve">w przedsięwzięciu 2.2.1 </w:t>
      </w:r>
      <w:r w:rsidR="00B527CD" w:rsidRPr="00EF5D92">
        <w:rPr>
          <w:rFonts w:cstheme="minorHAnsi"/>
          <w:i/>
          <w:shd w:val="clear" w:color="auto" w:fill="FFFFFF"/>
        </w:rPr>
        <w:t>Rozwój ogólnodostępnej infrastruktury turystycznej lub rekreacyjnej</w:t>
      </w:r>
      <w:r w:rsidR="00B527CD" w:rsidRPr="00EF5D92">
        <w:rPr>
          <w:rFonts w:cstheme="minorHAnsi"/>
          <w:shd w:val="clear" w:color="auto" w:fill="FFFFFF"/>
        </w:rPr>
        <w:t xml:space="preserve"> zwiększono o </w:t>
      </w:r>
      <w:r w:rsidR="001343A2" w:rsidRPr="00EF5D92">
        <w:rPr>
          <w:rFonts w:cstheme="minorHAnsi"/>
          <w:shd w:val="clear" w:color="auto" w:fill="FFFFFF"/>
        </w:rPr>
        <w:t>5</w:t>
      </w:r>
      <w:r w:rsidR="00B527CD" w:rsidRPr="00EF5D92">
        <w:rPr>
          <w:rFonts w:cstheme="minorHAnsi"/>
          <w:shd w:val="clear" w:color="auto" w:fill="FFFFFF"/>
        </w:rPr>
        <w:t xml:space="preserve"> wartość wskaźnika </w:t>
      </w:r>
      <w:r w:rsidR="00B527CD" w:rsidRPr="00EF5D92">
        <w:rPr>
          <w:rFonts w:cstheme="minorHAnsi"/>
          <w:i/>
        </w:rPr>
        <w:t>Liczba rozwiniętych</w:t>
      </w:r>
      <w:r w:rsidR="00B527CD" w:rsidRPr="00EF5D92">
        <w:rPr>
          <w:rFonts w:cstheme="minorHAnsi"/>
          <w:i/>
          <w:strike/>
        </w:rPr>
        <w:t xml:space="preserve"> </w:t>
      </w:r>
      <w:r w:rsidR="00B527CD" w:rsidRPr="00EF5D92">
        <w:rPr>
          <w:rFonts w:cstheme="minorHAnsi"/>
          <w:i/>
        </w:rPr>
        <w:t xml:space="preserve"> obiektów infrastruktury turystycznej i rekreacyjnej</w:t>
      </w:r>
      <w:r w:rsidR="00B527CD" w:rsidRPr="00EF5D92">
        <w:rPr>
          <w:rFonts w:cstheme="minorHAnsi"/>
          <w:shd w:val="clear" w:color="auto" w:fill="FFFFFF"/>
        </w:rPr>
        <w:t xml:space="preserve"> adekwatnie do </w:t>
      </w:r>
      <w:r w:rsidR="001343A2" w:rsidRPr="00EF5D92">
        <w:rPr>
          <w:rFonts w:cstheme="minorHAnsi"/>
          <w:shd w:val="clear" w:color="auto" w:fill="FFFFFF"/>
        </w:rPr>
        <w:t>zwiększonej kwoty</w:t>
      </w:r>
    </w:p>
    <w:p w:rsidR="005449FD" w:rsidRPr="00EF5D92" w:rsidRDefault="009F7805" w:rsidP="00E829DE">
      <w:pPr>
        <w:pStyle w:val="Bezodstpw"/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cstheme="minorHAnsi"/>
          <w:i/>
          <w:noProof/>
        </w:rPr>
      </w:pPr>
      <w:r w:rsidRPr="00EF5D92">
        <w:rPr>
          <w:rFonts w:cstheme="minorHAnsi"/>
        </w:rPr>
        <w:t>s</w:t>
      </w:r>
      <w:r w:rsidR="006B2317" w:rsidRPr="00EF5D92">
        <w:rPr>
          <w:rFonts w:cstheme="minorHAnsi"/>
        </w:rPr>
        <w:t>tr. 51 -5</w:t>
      </w:r>
      <w:r w:rsidR="00BF0B4E" w:rsidRPr="00EF5D92">
        <w:rPr>
          <w:rFonts w:cstheme="minorHAnsi"/>
        </w:rPr>
        <w:t>2</w:t>
      </w:r>
      <w:r w:rsidR="006B2317" w:rsidRPr="00EF5D92">
        <w:rPr>
          <w:rFonts w:cstheme="minorHAnsi"/>
        </w:rPr>
        <w:t xml:space="preserve"> </w:t>
      </w:r>
      <w:r w:rsidR="009B3161" w:rsidRPr="00EF5D92">
        <w:rPr>
          <w:rFonts w:cstheme="minorHAnsi"/>
          <w:noProof/>
        </w:rPr>
        <w:t>Opis powiązań budżetu z celami LSR</w:t>
      </w:r>
      <w:r w:rsidR="009B3161" w:rsidRPr="00EF5D92">
        <w:rPr>
          <w:rFonts w:cstheme="minorHAnsi"/>
        </w:rPr>
        <w:t xml:space="preserve"> oraz </w:t>
      </w:r>
      <w:r w:rsidR="009B3161" w:rsidRPr="00EF5D92">
        <w:rPr>
          <w:rFonts w:cstheme="minorHAnsi"/>
          <w:i/>
          <w:noProof/>
        </w:rPr>
        <w:t xml:space="preserve">Tabela 21. Powiązanie budżetu z celami </w:t>
      </w:r>
      <w:r w:rsidR="001343A2" w:rsidRPr="00EF5D92">
        <w:rPr>
          <w:rFonts w:cstheme="minorHAnsi"/>
          <w:noProof/>
        </w:rPr>
        <w:t>zaktualizowano</w:t>
      </w:r>
      <w:r w:rsidR="001343A2" w:rsidRPr="00EF5D92">
        <w:rPr>
          <w:rFonts w:cstheme="minorHAnsi"/>
          <w:i/>
          <w:noProof/>
        </w:rPr>
        <w:t xml:space="preserve"> </w:t>
      </w:r>
      <w:r w:rsidR="009B3161" w:rsidRPr="00EF5D92">
        <w:rPr>
          <w:rFonts w:cstheme="minorHAnsi"/>
          <w:noProof/>
        </w:rPr>
        <w:t>wszys</w:t>
      </w:r>
      <w:r w:rsidR="001343A2" w:rsidRPr="00EF5D92">
        <w:rPr>
          <w:rFonts w:cstheme="minorHAnsi"/>
          <w:noProof/>
        </w:rPr>
        <w:t>t</w:t>
      </w:r>
      <w:r w:rsidR="009B3161" w:rsidRPr="00EF5D92">
        <w:rPr>
          <w:rFonts w:cstheme="minorHAnsi"/>
          <w:noProof/>
        </w:rPr>
        <w:t xml:space="preserve">kie kwoty </w:t>
      </w:r>
      <w:r w:rsidR="001343A2" w:rsidRPr="00EF5D92">
        <w:rPr>
          <w:rFonts w:cstheme="minorHAnsi"/>
          <w:noProof/>
        </w:rPr>
        <w:t>wynikające z powyższych zmian</w:t>
      </w:r>
      <w:r w:rsidR="00C36678" w:rsidRPr="00EF5D92">
        <w:rPr>
          <w:rFonts w:cstheme="minorHAnsi"/>
        </w:rPr>
        <w:t>.</w:t>
      </w:r>
    </w:p>
    <w:p w:rsidR="00137681" w:rsidRPr="00963D7C" w:rsidRDefault="00137681" w:rsidP="0013768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Uwydatnienie"/>
          <w:rFonts w:cstheme="minorHAnsi"/>
          <w:b/>
          <w:bCs/>
          <w:color w:val="404040"/>
          <w:spacing w:val="15"/>
          <w:shd w:val="clear" w:color="auto" w:fill="FFFFFF"/>
        </w:rPr>
      </w:pPr>
      <w:r w:rsidRPr="00963D7C">
        <w:rPr>
          <w:rStyle w:val="Pogrubienie"/>
          <w:rFonts w:cstheme="minorHAnsi"/>
          <w:color w:val="404040"/>
          <w:spacing w:val="15"/>
          <w:shd w:val="clear" w:color="auto" w:fill="FFFFFF"/>
        </w:rPr>
        <w:t>Zmiany w załączniku nr 3 </w:t>
      </w:r>
      <w:r w:rsidRPr="00963D7C">
        <w:rPr>
          <w:rStyle w:val="Uwydatnienie"/>
          <w:rFonts w:cstheme="minorHAnsi"/>
          <w:b/>
          <w:bCs/>
          <w:color w:val="404040"/>
          <w:spacing w:val="15"/>
          <w:shd w:val="clear" w:color="auto" w:fill="FFFFFF"/>
        </w:rPr>
        <w:t>Plan działania:</w:t>
      </w:r>
    </w:p>
    <w:p w:rsidR="009F7805" w:rsidRPr="00963D7C" w:rsidRDefault="001343A2" w:rsidP="009F7805">
      <w:pPr>
        <w:pStyle w:val="Bezodstpw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963D7C">
        <w:rPr>
          <w:rFonts w:cstheme="minorHAnsi"/>
        </w:rPr>
        <w:t>wydłużono czas realizacji LSR do roku 2024</w:t>
      </w:r>
    </w:p>
    <w:p w:rsidR="001343A2" w:rsidRPr="00963D7C" w:rsidRDefault="001343A2" w:rsidP="00A80563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pacing w:val="15"/>
          <w:lang w:eastAsia="pl-PL"/>
        </w:rPr>
      </w:pPr>
      <w:r w:rsidRPr="00963D7C">
        <w:rPr>
          <w:rFonts w:cstheme="minorHAnsi"/>
        </w:rPr>
        <w:t xml:space="preserve">zwiększono </w:t>
      </w:r>
      <w:r w:rsidR="009F7805" w:rsidRPr="00963D7C">
        <w:rPr>
          <w:rFonts w:cstheme="minorHAnsi"/>
        </w:rPr>
        <w:t xml:space="preserve">kwotę </w:t>
      </w:r>
      <w:r w:rsidRPr="00963D7C">
        <w:rPr>
          <w:rFonts w:cstheme="minorHAnsi"/>
        </w:rPr>
        <w:t>w</w:t>
      </w:r>
      <w:r w:rsidR="009F7805" w:rsidRPr="00963D7C">
        <w:rPr>
          <w:rFonts w:cstheme="minorHAnsi"/>
        </w:rPr>
        <w:t xml:space="preserve"> przedsięwzięci</w:t>
      </w:r>
      <w:r w:rsidRPr="00963D7C">
        <w:rPr>
          <w:rFonts w:cstheme="minorHAnsi"/>
        </w:rPr>
        <w:t>u</w:t>
      </w:r>
      <w:r w:rsidR="009F7805" w:rsidRPr="00963D7C">
        <w:rPr>
          <w:rFonts w:cstheme="minorHAnsi"/>
        </w:rPr>
        <w:t xml:space="preserve"> 2.1.1. Podejmowanie i rozwijanie działalności gospodarczej (</w:t>
      </w:r>
      <w:r w:rsidRPr="00963D7C">
        <w:rPr>
          <w:rFonts w:cstheme="minorHAnsi"/>
        </w:rPr>
        <w:t>w</w:t>
      </w:r>
      <w:r w:rsidR="009F7805" w:rsidRPr="00963D7C">
        <w:rPr>
          <w:rFonts w:cstheme="minorHAnsi"/>
        </w:rPr>
        <w:t xml:space="preserve"> zakres</w:t>
      </w:r>
      <w:r w:rsidRPr="00963D7C">
        <w:rPr>
          <w:rFonts w:cstheme="minorHAnsi"/>
        </w:rPr>
        <w:t>ie</w:t>
      </w:r>
      <w:r w:rsidR="009F7805" w:rsidRPr="00963D7C">
        <w:rPr>
          <w:rFonts w:cstheme="minorHAnsi"/>
        </w:rPr>
        <w:t xml:space="preserve"> </w:t>
      </w:r>
      <w:r w:rsidRPr="00963D7C">
        <w:rPr>
          <w:rFonts w:cstheme="minorHAnsi"/>
        </w:rPr>
        <w:t>Podejmowanie</w:t>
      </w:r>
      <w:r w:rsidR="009F7805" w:rsidRPr="00963D7C">
        <w:rPr>
          <w:rFonts w:cstheme="minorHAnsi"/>
        </w:rPr>
        <w:t xml:space="preserve"> działalności gospodarczej) </w:t>
      </w:r>
      <w:r w:rsidRPr="00963D7C">
        <w:rPr>
          <w:rFonts w:cstheme="minorHAnsi"/>
        </w:rPr>
        <w:t>o 146 000 euro (35,01% dodatkowych środków)</w:t>
      </w:r>
    </w:p>
    <w:p w:rsidR="009F7805" w:rsidRPr="00963D7C" w:rsidRDefault="00D839C1" w:rsidP="00A80563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pacing w:val="15"/>
          <w:lang w:eastAsia="pl-PL"/>
        </w:rPr>
      </w:pPr>
      <w:r w:rsidRPr="00963D7C">
        <w:rPr>
          <w:rFonts w:cstheme="minorHAnsi"/>
          <w:shd w:val="clear" w:color="auto" w:fill="FFFFFF"/>
        </w:rPr>
        <w:t xml:space="preserve">w przedsięwzięciu 2.2.1 </w:t>
      </w:r>
      <w:r w:rsidRPr="00963D7C">
        <w:rPr>
          <w:rFonts w:cstheme="minorHAnsi"/>
          <w:i/>
          <w:shd w:val="clear" w:color="auto" w:fill="FFFFFF"/>
        </w:rPr>
        <w:t>Rozwój ogólnodostępnej infrastruktury turystycznej lub rekreacyjnej</w:t>
      </w:r>
      <w:r w:rsidRPr="00963D7C">
        <w:rPr>
          <w:rFonts w:cstheme="minorHAnsi"/>
          <w:shd w:val="clear" w:color="auto" w:fill="FFFFFF"/>
        </w:rPr>
        <w:t xml:space="preserve"> zwiększono o </w:t>
      </w:r>
      <w:r w:rsidR="001343A2" w:rsidRPr="00963D7C">
        <w:rPr>
          <w:rFonts w:cstheme="minorHAnsi"/>
          <w:shd w:val="clear" w:color="auto" w:fill="FFFFFF"/>
        </w:rPr>
        <w:t>5</w:t>
      </w:r>
      <w:r w:rsidRPr="00963D7C">
        <w:rPr>
          <w:rFonts w:cstheme="minorHAnsi"/>
          <w:shd w:val="clear" w:color="auto" w:fill="FFFFFF"/>
        </w:rPr>
        <w:t xml:space="preserve"> wartość wskaźnika </w:t>
      </w:r>
      <w:r w:rsidRPr="00963D7C">
        <w:rPr>
          <w:rFonts w:cstheme="minorHAnsi"/>
          <w:i/>
        </w:rPr>
        <w:t>Liczba rozwiniętych obiektów infrastruktury turystycznej i rekreacyjnej</w:t>
      </w:r>
      <w:r w:rsidRPr="00963D7C">
        <w:rPr>
          <w:rFonts w:cstheme="minorHAnsi"/>
          <w:shd w:val="clear" w:color="auto" w:fill="FFFFFF"/>
        </w:rPr>
        <w:t xml:space="preserve"> adekwatnie do </w:t>
      </w:r>
      <w:r w:rsidR="001343A2" w:rsidRPr="00963D7C">
        <w:rPr>
          <w:rFonts w:cstheme="minorHAnsi"/>
          <w:shd w:val="clear" w:color="auto" w:fill="FFFFFF"/>
        </w:rPr>
        <w:t xml:space="preserve">zwiększonej </w:t>
      </w:r>
      <w:r w:rsidRPr="00963D7C">
        <w:rPr>
          <w:rFonts w:cstheme="minorHAnsi"/>
          <w:shd w:val="clear" w:color="auto" w:fill="FFFFFF"/>
        </w:rPr>
        <w:t xml:space="preserve">  kwoty</w:t>
      </w:r>
      <w:r w:rsidR="001343A2" w:rsidRPr="00963D7C">
        <w:rPr>
          <w:rFonts w:cstheme="minorHAnsi"/>
          <w:shd w:val="clear" w:color="auto" w:fill="FFFFFF"/>
        </w:rPr>
        <w:t xml:space="preserve"> o 226 000 euro</w:t>
      </w:r>
    </w:p>
    <w:p w:rsidR="009F7805" w:rsidRPr="00963D7C" w:rsidRDefault="009F7805" w:rsidP="009F7805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pacing w:val="15"/>
          <w:lang w:eastAsia="pl-PL"/>
        </w:rPr>
      </w:pPr>
      <w:r w:rsidRPr="00963D7C">
        <w:rPr>
          <w:rFonts w:cstheme="minorHAnsi"/>
        </w:rPr>
        <w:t xml:space="preserve">w przedsięwzięciu 1.1.2. Wspieranie rozwoju infrastruktury kulturalnej zwiększono o 1 wartość wskaźnika </w:t>
      </w:r>
      <w:r w:rsidRPr="00963D7C">
        <w:rPr>
          <w:rFonts w:cstheme="minorHAnsi"/>
          <w:i/>
        </w:rPr>
        <w:t>Liczba rozwiniętych, obiektów infrastruktury kulturalnej</w:t>
      </w:r>
      <w:r w:rsidRPr="00963D7C">
        <w:rPr>
          <w:rFonts w:cstheme="minorHAnsi"/>
        </w:rPr>
        <w:t xml:space="preserve"> </w:t>
      </w:r>
      <w:r w:rsidRPr="00963D7C">
        <w:rPr>
          <w:rFonts w:cstheme="minorHAnsi"/>
          <w:shd w:val="clear" w:color="auto" w:fill="FFFFFF"/>
        </w:rPr>
        <w:t xml:space="preserve">adekwatnie do zwiększonej kwoty </w:t>
      </w:r>
      <w:r w:rsidR="001343A2" w:rsidRPr="00963D7C">
        <w:rPr>
          <w:rFonts w:cstheme="minorHAnsi"/>
          <w:shd w:val="clear" w:color="auto" w:fill="FFFFFF"/>
        </w:rPr>
        <w:t>o 45 000 euro</w:t>
      </w:r>
    </w:p>
    <w:p w:rsidR="00586F49" w:rsidRPr="00963D7C" w:rsidRDefault="00586F49" w:rsidP="00FB5FE1">
      <w:pPr>
        <w:rPr>
          <w:rFonts w:cstheme="minorHAnsi"/>
          <w:lang w:eastAsia="pl-PL"/>
        </w:rPr>
      </w:pPr>
      <w:r w:rsidRPr="00963D7C">
        <w:rPr>
          <w:rFonts w:cstheme="minorHAnsi"/>
          <w:lang w:eastAsia="pl-PL"/>
        </w:rPr>
        <w:t>Zwiększone wartości dotychczasowych wskaźników wpisują się  w diagnozę obszaru LSR:</w:t>
      </w:r>
    </w:p>
    <w:p w:rsidR="00EF5D92" w:rsidRPr="00963D7C" w:rsidRDefault="00EF5D92" w:rsidP="00EF5D92">
      <w:pPr>
        <w:spacing w:after="0" w:line="276" w:lineRule="auto"/>
        <w:jc w:val="both"/>
        <w:rPr>
          <w:rFonts w:cstheme="minorHAnsi"/>
        </w:rPr>
      </w:pPr>
      <w:r w:rsidRPr="00963D7C">
        <w:rPr>
          <w:rFonts w:cstheme="minorHAnsi"/>
          <w:lang w:eastAsia="pl-PL"/>
        </w:rPr>
        <w:t xml:space="preserve">Skupiono się na wszystkich obszarach interwencji przedstawionych w diagnozie LSR na stronie 26 w punkcie </w:t>
      </w:r>
      <w:r w:rsidRPr="00963D7C">
        <w:rPr>
          <w:rFonts w:cstheme="minorHAnsi"/>
        </w:rPr>
        <w:t>3.9. Obszary interwencji i grupy istotne z punktu widzenia realizacji LSR:</w:t>
      </w:r>
    </w:p>
    <w:p w:rsidR="00EF5D92" w:rsidRPr="00963D7C" w:rsidRDefault="00EF5D92" w:rsidP="00EF5D92">
      <w:pPr>
        <w:spacing w:after="0" w:line="276" w:lineRule="auto"/>
        <w:jc w:val="both"/>
        <w:rPr>
          <w:rFonts w:cstheme="minorHAnsi"/>
        </w:rPr>
      </w:pPr>
      <w:r w:rsidRPr="00963D7C">
        <w:rPr>
          <w:rFonts w:cstheme="minorHAnsi"/>
        </w:rPr>
        <w:t>„</w:t>
      </w:r>
      <w:r w:rsidRPr="00963D7C">
        <w:rPr>
          <w:rFonts w:cstheme="minorHAnsi"/>
          <w:b/>
        </w:rPr>
        <w:t xml:space="preserve">Aktywizacja mieszkańców: </w:t>
      </w:r>
      <w:r w:rsidRPr="00963D7C">
        <w:rPr>
          <w:rFonts w:cstheme="minorHAnsi"/>
        </w:rPr>
        <w:t xml:space="preserve">Niewystarczająca jest  infrastruktura społeczna, rekreacyjna i techniczna służąca aktywizacji i integracji społecznej. Taki trend jest niekorzystny dla rozwoju obszaru, dlatego wymaga interwencji.” </w:t>
      </w:r>
    </w:p>
    <w:p w:rsidR="00EF5D92" w:rsidRPr="00963D7C" w:rsidRDefault="00EF5D92" w:rsidP="00EF5D92">
      <w:pPr>
        <w:spacing w:after="0" w:line="276" w:lineRule="auto"/>
        <w:jc w:val="both"/>
        <w:rPr>
          <w:rFonts w:cstheme="minorHAnsi"/>
        </w:rPr>
      </w:pPr>
      <w:r w:rsidRPr="00963D7C">
        <w:rPr>
          <w:rFonts w:cstheme="minorHAnsi"/>
          <w:b/>
        </w:rPr>
        <w:t xml:space="preserve">Turystyka: </w:t>
      </w:r>
      <w:r w:rsidRPr="00963D7C">
        <w:rPr>
          <w:rFonts w:cstheme="minorHAnsi"/>
        </w:rPr>
        <w:t xml:space="preserve">walory turystyczne obszaru oraz szlaki turystyczne są niewykorzystane i mało wypromowane, istniejąca baza turystyczna wymaga modernizacji, potrzebna jest również nowa infrastruktura turystyczna,  zakres usług gospodarstw agroturystycznych i ich oferta są </w:t>
      </w:r>
      <w:r w:rsidRPr="00963D7C">
        <w:rPr>
          <w:rFonts w:cstheme="minorHAnsi"/>
        </w:rPr>
        <w:lastRenderedPageBreak/>
        <w:t>niewystarczające, dlatego obszar ten wymaga interwencji, aby w pełni wykorzystać potencjał turystyczny sprzyjający rozwojowi regionu.</w:t>
      </w:r>
    </w:p>
    <w:p w:rsidR="00EF5D92" w:rsidRPr="00963D7C" w:rsidRDefault="00EF5D92" w:rsidP="00EF5D92">
      <w:pPr>
        <w:spacing w:after="0" w:line="276" w:lineRule="auto"/>
        <w:jc w:val="both"/>
        <w:rPr>
          <w:rFonts w:cstheme="minorHAnsi"/>
        </w:rPr>
      </w:pPr>
      <w:r w:rsidRPr="00963D7C">
        <w:rPr>
          <w:rFonts w:cstheme="minorHAnsi"/>
          <w:b/>
        </w:rPr>
        <w:t xml:space="preserve">Dziedzictwo kulturowe - </w:t>
      </w:r>
      <w:r w:rsidRPr="00963D7C">
        <w:rPr>
          <w:rFonts w:cstheme="minorHAnsi"/>
        </w:rPr>
        <w:t>Dziedzictwo kulturowe jest najsilniejszym czynnikiem spajającym region, jest jego wyróżnikiem i promotorem, dlatego wymaga szczególnej pielęgnacji i dbałości o jego zachowanie</w:t>
      </w:r>
    </w:p>
    <w:p w:rsidR="00EF5D92" w:rsidRPr="00963D7C" w:rsidRDefault="00EF5D92" w:rsidP="00EF5D92">
      <w:pPr>
        <w:spacing w:after="0" w:line="276" w:lineRule="auto"/>
        <w:jc w:val="both"/>
        <w:rPr>
          <w:rFonts w:cstheme="minorHAnsi"/>
        </w:rPr>
      </w:pPr>
      <w:r w:rsidRPr="00963D7C">
        <w:rPr>
          <w:rFonts w:cstheme="minorHAnsi"/>
        </w:rPr>
        <w:t>– zaplanowano większość (64,99%) z dodatkowych środków przeznaczyć na rozwój infrastruktury kulturalnej, turystycznej lub rekreacyjnej, przez wsparcie przedsięwzięć z zakresu  A.1. 2 Wspieranie rozwoju infrastruktury kulturalnej oraz przedsięwzięć B.2.1 Rozwój ogólnodostępnej infrastruktury turystycznej i rekreacyjnej.</w:t>
      </w:r>
    </w:p>
    <w:p w:rsidR="00EF5D92" w:rsidRPr="00963D7C" w:rsidRDefault="00EF5D92" w:rsidP="00EF5D92">
      <w:pPr>
        <w:spacing w:after="0" w:line="276" w:lineRule="auto"/>
        <w:jc w:val="both"/>
        <w:rPr>
          <w:rFonts w:cstheme="minorHAnsi"/>
        </w:rPr>
      </w:pPr>
    </w:p>
    <w:p w:rsidR="00EF5D92" w:rsidRPr="00963D7C" w:rsidRDefault="00EF5D92" w:rsidP="00EF5D92">
      <w:pPr>
        <w:spacing w:after="0" w:line="276" w:lineRule="auto"/>
        <w:jc w:val="both"/>
        <w:rPr>
          <w:rFonts w:cstheme="minorHAnsi"/>
        </w:rPr>
      </w:pPr>
      <w:r w:rsidRPr="00963D7C">
        <w:rPr>
          <w:rFonts w:cstheme="minorHAnsi"/>
        </w:rPr>
        <w:t>Pozostałą kwotę dodatkowych środków, czyli 146 000 euro (35,01%) postanowiono przeznaczyć na przedsięwzięcie B.1.1 Podejmowanie i rozwijanie działalności gospodarczej</w:t>
      </w:r>
      <w:r w:rsidR="0032395A" w:rsidRPr="00963D7C">
        <w:rPr>
          <w:rFonts w:cstheme="minorHAnsi"/>
        </w:rPr>
        <w:t>, z zakresu Podejmowania działalności gospodarczej, co odpowiada diagnozie obszaru LSR w obszarach interwencji:</w:t>
      </w:r>
    </w:p>
    <w:p w:rsidR="0032395A" w:rsidRPr="00963D7C" w:rsidRDefault="0032395A" w:rsidP="00EF5D92">
      <w:pPr>
        <w:spacing w:after="0" w:line="276" w:lineRule="auto"/>
        <w:jc w:val="both"/>
        <w:rPr>
          <w:rFonts w:cstheme="minorHAnsi"/>
        </w:rPr>
      </w:pPr>
      <w:r w:rsidRPr="00963D7C">
        <w:rPr>
          <w:rFonts w:cstheme="minorHAnsi"/>
          <w:b/>
        </w:rPr>
        <w:t xml:space="preserve">Dostępność do rynku pracy oraz Przedsiębiorczość: </w:t>
      </w:r>
      <w:r w:rsidRPr="00963D7C">
        <w:rPr>
          <w:rFonts w:cstheme="minorHAnsi"/>
        </w:rPr>
        <w:t>Rozwój przedsiębiorczości zawsze wpływa na atrakcyjność regionu. Najbardziej dynamiczny na obszarze LGD jest rozwój usług dla ludności i biznesu, a także firm będących podwykonawcami lub kooperantami dużych przedsiębiorstw w regionie. Wsparcie podejmowania własnej działalności gospodarczej jest alternatywą dla rynku pracy i daje duże możliwości osobom młodym na samozatrudnienie i pozostanie na obszarze LGD a nie migrację w poszukiwaniu pracy i atrakcyjnego miejsca do życia, co jest jednym ze zdiagnozowanych problemów regionu.</w:t>
      </w:r>
    </w:p>
    <w:p w:rsidR="00EF5D92" w:rsidRPr="00963D7C" w:rsidRDefault="00EF5D92" w:rsidP="00EF5D92">
      <w:pPr>
        <w:spacing w:after="0" w:line="276" w:lineRule="auto"/>
        <w:jc w:val="both"/>
        <w:rPr>
          <w:rFonts w:cstheme="minorHAnsi"/>
        </w:rPr>
      </w:pPr>
    </w:p>
    <w:p w:rsidR="00FB5FE1" w:rsidRPr="00EF5D92" w:rsidRDefault="00FB5FE1" w:rsidP="00FB5FE1">
      <w:pPr>
        <w:rPr>
          <w:rFonts w:cstheme="minorHAnsi"/>
          <w:lang w:eastAsia="pl-PL"/>
        </w:rPr>
      </w:pPr>
    </w:p>
    <w:p w:rsidR="00586F49" w:rsidRPr="00EF5D92" w:rsidRDefault="00586F49" w:rsidP="00586F4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pacing w:val="15"/>
          <w:lang w:eastAsia="pl-PL"/>
        </w:rPr>
      </w:pPr>
    </w:p>
    <w:p w:rsidR="001343A2" w:rsidRPr="00EF5D92" w:rsidRDefault="001343A2" w:rsidP="001343A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/>
          <w:spacing w:val="15"/>
          <w:lang w:eastAsia="pl-PL"/>
        </w:rPr>
      </w:pPr>
    </w:p>
    <w:sectPr w:rsidR="001343A2" w:rsidRPr="00EF5D92" w:rsidSect="009F780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A51" w:rsidRDefault="00EB7A51" w:rsidP="00E5610C">
      <w:pPr>
        <w:spacing w:after="0" w:line="240" w:lineRule="auto"/>
      </w:pPr>
      <w:r>
        <w:separator/>
      </w:r>
    </w:p>
  </w:endnote>
  <w:endnote w:type="continuationSeparator" w:id="0">
    <w:p w:rsidR="00EB7A51" w:rsidRDefault="00EB7A51" w:rsidP="00E5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A51" w:rsidRDefault="00EB7A51" w:rsidP="00E5610C">
      <w:pPr>
        <w:spacing w:after="0" w:line="240" w:lineRule="auto"/>
      </w:pPr>
      <w:r>
        <w:separator/>
      </w:r>
    </w:p>
  </w:footnote>
  <w:footnote w:type="continuationSeparator" w:id="0">
    <w:p w:rsidR="00EB7A51" w:rsidRDefault="00EB7A51" w:rsidP="00E5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684"/>
    <w:multiLevelType w:val="multilevel"/>
    <w:tmpl w:val="37D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85468"/>
    <w:multiLevelType w:val="multilevel"/>
    <w:tmpl w:val="0C52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5237A"/>
    <w:multiLevelType w:val="hybridMultilevel"/>
    <w:tmpl w:val="E4C0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3242"/>
    <w:multiLevelType w:val="multilevel"/>
    <w:tmpl w:val="37D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03001"/>
    <w:multiLevelType w:val="multilevel"/>
    <w:tmpl w:val="37D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A01F1"/>
    <w:multiLevelType w:val="multilevel"/>
    <w:tmpl w:val="37D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11F04"/>
    <w:multiLevelType w:val="multilevel"/>
    <w:tmpl w:val="0C52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A5D0A"/>
    <w:multiLevelType w:val="multilevel"/>
    <w:tmpl w:val="116E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20E53"/>
    <w:multiLevelType w:val="multilevel"/>
    <w:tmpl w:val="7856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8561D"/>
    <w:multiLevelType w:val="multilevel"/>
    <w:tmpl w:val="37D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92"/>
    <w:rsid w:val="000702AA"/>
    <w:rsid w:val="000D1ECF"/>
    <w:rsid w:val="000D4D4D"/>
    <w:rsid w:val="001343A2"/>
    <w:rsid w:val="00137681"/>
    <w:rsid w:val="00250F4C"/>
    <w:rsid w:val="00251B06"/>
    <w:rsid w:val="002E23F8"/>
    <w:rsid w:val="002E7692"/>
    <w:rsid w:val="0032395A"/>
    <w:rsid w:val="003B0B17"/>
    <w:rsid w:val="003F5150"/>
    <w:rsid w:val="0046450C"/>
    <w:rsid w:val="004E7311"/>
    <w:rsid w:val="005449FD"/>
    <w:rsid w:val="00586F49"/>
    <w:rsid w:val="006B2317"/>
    <w:rsid w:val="006C4C5B"/>
    <w:rsid w:val="006E10FF"/>
    <w:rsid w:val="007135C0"/>
    <w:rsid w:val="00764977"/>
    <w:rsid w:val="0079256E"/>
    <w:rsid w:val="007A6260"/>
    <w:rsid w:val="008468CB"/>
    <w:rsid w:val="008A0BDC"/>
    <w:rsid w:val="008C0B05"/>
    <w:rsid w:val="00963D7C"/>
    <w:rsid w:val="009B3161"/>
    <w:rsid w:val="009F7805"/>
    <w:rsid w:val="00A0678A"/>
    <w:rsid w:val="00A80FBF"/>
    <w:rsid w:val="00A83773"/>
    <w:rsid w:val="00A92E15"/>
    <w:rsid w:val="00AA5E2A"/>
    <w:rsid w:val="00B527CD"/>
    <w:rsid w:val="00B66558"/>
    <w:rsid w:val="00B9385F"/>
    <w:rsid w:val="00BC549D"/>
    <w:rsid w:val="00BF0B4E"/>
    <w:rsid w:val="00C10DE1"/>
    <w:rsid w:val="00C36678"/>
    <w:rsid w:val="00D7431E"/>
    <w:rsid w:val="00D839C1"/>
    <w:rsid w:val="00E1333F"/>
    <w:rsid w:val="00E21C66"/>
    <w:rsid w:val="00E274AB"/>
    <w:rsid w:val="00E30176"/>
    <w:rsid w:val="00E5610C"/>
    <w:rsid w:val="00EB7A51"/>
    <w:rsid w:val="00EF5D92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44B38-030C-4ACC-B6FF-42E02D53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E7692"/>
    <w:rPr>
      <w:i/>
      <w:iCs/>
    </w:rPr>
  </w:style>
  <w:style w:type="paragraph" w:styleId="Akapitzlist">
    <w:name w:val="List Paragraph"/>
    <w:basedOn w:val="Normalny"/>
    <w:uiPriority w:val="34"/>
    <w:qFormat/>
    <w:rsid w:val="00B938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768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1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1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10C"/>
    <w:rPr>
      <w:vertAlign w:val="superscript"/>
    </w:rPr>
  </w:style>
  <w:style w:type="paragraph" w:styleId="Bezodstpw">
    <w:name w:val="No Spacing"/>
    <w:uiPriority w:val="1"/>
    <w:qFormat/>
    <w:rsid w:val="00E21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Gołek</dc:creator>
  <cp:keywords/>
  <dc:description/>
  <cp:lastModifiedBy>Paulina Gołek</cp:lastModifiedBy>
  <cp:revision>2</cp:revision>
  <dcterms:created xsi:type="dcterms:W3CDTF">2021-06-30T12:48:00Z</dcterms:created>
  <dcterms:modified xsi:type="dcterms:W3CDTF">2021-06-30T12:48:00Z</dcterms:modified>
</cp:coreProperties>
</file>